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303BC" w:rsidR="009618A0" w:rsidP="00841B6C" w:rsidRDefault="009618A0" w14:paraId="6D20C88B" w14:textId="77777777">
      <w:pPr>
        <w:jc w:val="center"/>
        <w:rPr>
          <w:rFonts w:ascii="Aptos" w:hAnsi="Aptos" w:cstheme="majorHAnsi"/>
          <w:b/>
          <w:sz w:val="22"/>
          <w:szCs w:val="22"/>
        </w:rPr>
      </w:pPr>
    </w:p>
    <w:p w:rsidRPr="00F303BC" w:rsidR="009B7C73" w:rsidP="00841B6C" w:rsidRDefault="005C7247" w14:paraId="1DBA616D" w14:textId="77777777">
      <w:pPr>
        <w:tabs>
          <w:tab w:val="left" w:pos="4265"/>
          <w:tab w:val="center" w:pos="7285"/>
        </w:tabs>
        <w:rPr>
          <w:rFonts w:ascii="Aptos" w:hAnsi="Aptos" w:cstheme="majorHAnsi"/>
          <w:b/>
          <w:sz w:val="22"/>
          <w:szCs w:val="22"/>
        </w:rPr>
      </w:pPr>
      <w:r w:rsidRPr="00F303BC">
        <w:rPr>
          <w:rFonts w:ascii="Aptos" w:hAnsi="Aptos" w:cstheme="majorHAnsi"/>
          <w:b/>
          <w:sz w:val="22"/>
          <w:szCs w:val="22"/>
        </w:rPr>
        <w:tab/>
      </w:r>
      <w:r w:rsidRPr="00F303BC">
        <w:rPr>
          <w:rFonts w:ascii="Aptos" w:hAnsi="Aptos" w:cstheme="majorHAnsi"/>
          <w:b/>
          <w:sz w:val="22"/>
          <w:szCs w:val="22"/>
        </w:rPr>
        <w:tab/>
      </w:r>
    </w:p>
    <w:p w:rsidRPr="00F303BC" w:rsidR="00FC4682" w:rsidP="00841B6C" w:rsidRDefault="0067137A" w14:paraId="12385FDA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F303BC">
        <w:rPr>
          <w:rFonts w:ascii="Aptos" w:hAnsi="Aptos" w:cstheme="majorHAnsi"/>
          <w:b/>
          <w:sz w:val="22"/>
          <w:szCs w:val="22"/>
        </w:rPr>
        <w:t xml:space="preserve">SPECYFIKACJA </w:t>
      </w:r>
      <w:r w:rsidRPr="00F303BC" w:rsidR="008A666E">
        <w:rPr>
          <w:rFonts w:ascii="Aptos" w:hAnsi="Aptos" w:cstheme="majorHAnsi"/>
          <w:b/>
          <w:sz w:val="22"/>
          <w:szCs w:val="22"/>
          <w:lang w:eastAsia="pl-PL"/>
        </w:rPr>
        <w:t>TECHNICZNO-FUNKCJONALNA</w:t>
      </w:r>
    </w:p>
    <w:p w:rsidRPr="00F303BC" w:rsidR="00396180" w:rsidP="00841B6C" w:rsidRDefault="00396180" w14:paraId="155B3B90" w14:textId="77777777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</w:p>
    <w:p w:rsidRPr="00F303BC" w:rsidR="00396180" w:rsidP="00841B6C" w:rsidRDefault="00396180" w14:paraId="5A951043" w14:textId="0968D25F">
      <w:pPr>
        <w:tabs>
          <w:tab w:val="left" w:pos="4265"/>
          <w:tab w:val="center" w:pos="7285"/>
        </w:tabs>
        <w:jc w:val="center"/>
        <w:rPr>
          <w:rFonts w:ascii="Aptos" w:hAnsi="Aptos" w:cstheme="majorHAnsi"/>
          <w:b/>
          <w:sz w:val="22"/>
          <w:szCs w:val="22"/>
        </w:rPr>
      </w:pPr>
      <w:r w:rsidRPr="00F303BC">
        <w:rPr>
          <w:rFonts w:ascii="Aptos" w:hAnsi="Aptos" w:cstheme="majorHAnsi"/>
          <w:b/>
          <w:sz w:val="22"/>
          <w:szCs w:val="22"/>
        </w:rPr>
        <w:t>Myjnia-dezynfektor przelotowa o pojemności min. 30 tac – 1 szt.</w:t>
      </w:r>
    </w:p>
    <w:p w:rsidRPr="00F303BC" w:rsidR="00396180" w:rsidP="54144C86" w:rsidRDefault="002654B4" w14:paraId="34CE8D39" w14:textId="3767359D">
      <w:pPr>
        <w:tabs>
          <w:tab w:val="left" w:pos="4265"/>
          <w:tab w:val="center" w:pos="7285"/>
        </w:tabs>
        <w:jc w:val="center"/>
        <w:rPr>
          <w:rFonts w:ascii="Aptos" w:hAnsi="Aptos" w:cs="Calibri Light" w:cstheme="majorAscii"/>
          <w:b w:val="1"/>
          <w:bCs w:val="1"/>
          <w:sz w:val="22"/>
          <w:szCs w:val="22"/>
        </w:rPr>
      </w:pPr>
      <w:r w:rsidRPr="6EA93D47" w:rsidR="002654B4">
        <w:rPr>
          <w:rFonts w:ascii="Aptos" w:hAnsi="Aptos" w:cs="Calibri Light" w:cstheme="majorAscii"/>
          <w:b w:val="1"/>
          <w:bCs w:val="1"/>
          <w:sz w:val="22"/>
          <w:szCs w:val="22"/>
        </w:rPr>
        <w:t xml:space="preserve">(pakiet nr 1, poz. </w:t>
      </w:r>
      <w:r w:rsidRPr="6EA93D47" w:rsidR="002654B4">
        <w:rPr>
          <w:rFonts w:ascii="Aptos" w:hAnsi="Aptos" w:cs="Calibri Light" w:cstheme="majorAscii"/>
          <w:b w:val="1"/>
          <w:bCs w:val="1"/>
          <w:sz w:val="22"/>
          <w:szCs w:val="22"/>
        </w:rPr>
        <w:t>3</w:t>
      </w:r>
      <w:r w:rsidRPr="6EA93D47" w:rsidR="61A5492A">
        <w:rPr>
          <w:rFonts w:ascii="Aptos" w:hAnsi="Aptos" w:cs="Calibri Light" w:cstheme="majorAscii"/>
          <w:b w:val="1"/>
          <w:bCs w:val="1"/>
          <w:sz w:val="22"/>
          <w:szCs w:val="22"/>
        </w:rPr>
        <w:t>4</w:t>
      </w:r>
      <w:r w:rsidRPr="6EA93D47" w:rsidR="002654B4">
        <w:rPr>
          <w:rFonts w:ascii="Aptos" w:hAnsi="Aptos" w:cs="Calibri Light" w:cstheme="majorAscii"/>
          <w:b w:val="1"/>
          <w:bCs w:val="1"/>
          <w:sz w:val="22"/>
          <w:szCs w:val="22"/>
        </w:rPr>
        <w:t>)</w:t>
      </w:r>
    </w:p>
    <w:p w:rsidRPr="00F303BC" w:rsidR="008A666E" w:rsidP="00841B6C" w:rsidRDefault="008A666E" w14:paraId="17C1EC17" w14:textId="77777777">
      <w:pPr>
        <w:pStyle w:val="Bezodstpw"/>
        <w:jc w:val="both"/>
        <w:rPr>
          <w:rFonts w:ascii="Aptos" w:hAnsi="Aptos" w:cstheme="majorHAnsi"/>
          <w:bCs/>
          <w:sz w:val="22"/>
          <w:szCs w:val="22"/>
        </w:rPr>
      </w:pPr>
    </w:p>
    <w:p w:rsidRPr="00F303BC" w:rsidR="008D1481" w:rsidP="00841B6C" w:rsidRDefault="008D1481" w14:paraId="27BE2784" w14:textId="77777777">
      <w:pPr>
        <w:pStyle w:val="Bezodstpw"/>
        <w:jc w:val="both"/>
        <w:rPr>
          <w:rFonts w:ascii="Aptos" w:hAnsi="Aptos" w:cstheme="majorHAnsi"/>
          <w:sz w:val="22"/>
          <w:szCs w:val="22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4860"/>
        <w:gridCol w:w="4252"/>
        <w:gridCol w:w="4253"/>
      </w:tblGrid>
      <w:tr w:rsidRPr="00F303BC" w:rsidR="008D1481" w:rsidTr="492E456F" w14:paraId="120E3C2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44FEA8D4" w14:textId="77777777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L. P.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8D1481" w14:paraId="789F977E" w14:textId="77777777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OPIS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8D1481" w14:paraId="1D83ABBF" w14:textId="77777777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PARAMETR WYMAGANY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5F60724F" w14:textId="77777777">
            <w:pPr>
              <w:jc w:val="center"/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PARAMETR OFEROWANY</w:t>
            </w:r>
          </w:p>
        </w:tc>
      </w:tr>
      <w:tr w:rsidRPr="00F303BC" w:rsidR="008D1481" w:rsidTr="492E456F" w14:paraId="54F4FE22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F303BC" w:rsidR="008D1481" w:rsidP="00531883" w:rsidRDefault="0074231A" w14:paraId="472797BD" w14:textId="553FD38C">
            <w:pPr>
              <w:rPr>
                <w:rFonts w:ascii="Aptos" w:hAnsi="Aptos" w:cstheme="majorHAnsi"/>
                <w:b/>
                <w:bCs/>
                <w:szCs w:val="22"/>
              </w:rPr>
            </w:pPr>
            <w:r w:rsidRPr="00F303BC">
              <w:rPr>
                <w:rFonts w:ascii="Aptos" w:hAnsi="Aptos" w:cstheme="majorHAnsi"/>
                <w:b/>
                <w:bCs/>
                <w:szCs w:val="22"/>
              </w:rPr>
              <w:t>Myjnia – dezynfektor o poj. min. 30 tac narzędziowych</w:t>
            </w:r>
            <w:r w:rsidRPr="00F303BC" w:rsidR="00EE200C">
              <w:rPr>
                <w:rFonts w:ascii="Aptos" w:hAnsi="Aptos" w:cstheme="majorHAnsi"/>
                <w:b/>
                <w:bCs/>
                <w:szCs w:val="22"/>
              </w:rPr>
              <w:t xml:space="preserve"> </w:t>
            </w:r>
          </w:p>
        </w:tc>
      </w:tr>
      <w:tr w:rsidRPr="00F303BC" w:rsidR="008D1481" w:rsidTr="492E456F" w14:paraId="34C73B5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55C63B56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EE200C" w14:paraId="30DF3C0B" w14:textId="3BC3C0E9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Typ/ model/ producent wyrobu medycznego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8D1481" w14:paraId="7F0F37C0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(proszę podać)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05DAC514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2BFBEE6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5A3CB02E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2. 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AF6A93" w:rsidRDefault="0074231A" w14:paraId="653FAF4C" w14:textId="7333B5EF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Konstrukcja myjni dezynfektora spełniająca wymagania normy PN EN ISO 15883 / EN ISO 15883 </w:t>
            </w:r>
            <w:r w:rsidRPr="00F303BC" w:rsidR="00340739">
              <w:rPr>
                <w:rFonts w:ascii="Aptos" w:hAnsi="Aptos" w:cstheme="majorHAnsi"/>
                <w:color w:val="000000"/>
                <w:szCs w:val="22"/>
              </w:rPr>
              <w:t>–</w:t>
            </w: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 1</w:t>
            </w:r>
            <w:r w:rsidRPr="00F303BC" w:rsidR="00340739">
              <w:rPr>
                <w:rFonts w:ascii="Aptos" w:hAnsi="Aptos" w:cstheme="majorHAnsi"/>
                <w:color w:val="000000"/>
                <w:szCs w:val="22"/>
              </w:rPr>
              <w:t xml:space="preserve"> </w:t>
            </w:r>
            <w:r w:rsidRPr="00F303BC">
              <w:rPr>
                <w:rFonts w:ascii="Aptos" w:hAnsi="Aptos" w:cstheme="majorHAnsi"/>
                <w:color w:val="000000"/>
                <w:szCs w:val="22"/>
              </w:rPr>
              <w:t>i 2 lub równoważnej, potwierdzone w załączonej deklaracji zgodności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74231A" w14:paraId="5734E79A" w14:textId="6320C9E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23A5D57D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0C047D1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7AF4F47F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74231A" w14:paraId="2254B69B" w14:textId="42BFB726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Zgodność z Dyrektywą dot. wyrobów medycznych – 2017/745, urządzenie posiada oznakowanie CE z czterocyfrową notyfikacją (jednostka notyfikująca wymieniona w Dzienniku Urzędowym Unii Europejskiej) – załączyć odpowiedni certyfikat producenta.</w:t>
            </w:r>
          </w:p>
        </w:tc>
        <w:tc>
          <w:tcPr>
            <w:tcW w:w="4252" w:type="dxa"/>
            <w:tcMar/>
            <w:vAlign w:val="center"/>
          </w:tcPr>
          <w:p w:rsidRPr="00F303BC" w:rsidR="0074231A" w:rsidP="00531883" w:rsidRDefault="0074231A" w14:paraId="26EE2590" w14:textId="25A1E46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  <w:p w:rsidRPr="00F303BC" w:rsidR="008D1481" w:rsidP="0074231A" w:rsidRDefault="008D1481" w14:paraId="2C3CE417" w14:textId="77777777">
            <w:pPr>
              <w:rPr>
                <w:rFonts w:ascii="Aptos" w:hAnsi="Aptos" w:cstheme="majorHAnsi"/>
                <w:szCs w:val="22"/>
              </w:rPr>
            </w:pP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1923C335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73AA897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233F4448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4. 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0A4618" w14:paraId="4D2B33BB" w14:textId="197936E0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</w:t>
            </w:r>
            <w:r w:rsidRPr="00F303BC" w:rsidR="0074231A">
              <w:rPr>
                <w:rFonts w:ascii="Aptos" w:hAnsi="Aptos" w:cstheme="majorHAnsi"/>
                <w:color w:val="000000"/>
                <w:szCs w:val="22"/>
              </w:rPr>
              <w:t>omora przelotowa, dwudrzwiowa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74231A" w14:paraId="0D6C61E8" w14:textId="0C4278EC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11F4B403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632387B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2607AE" w14:paraId="70679049" w14:textId="243ADE0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5.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74231A" w:rsidRDefault="0046548B" w14:paraId="50173170" w14:textId="2D964786">
            <w:pPr>
              <w:jc w:val="both"/>
              <w:rPr>
                <w:rFonts w:ascii="Aptos" w:hAnsi="Aptos" w:cstheme="majorHAnsi"/>
                <w:szCs w:val="22"/>
                <w:lang w:val="x-none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D</w:t>
            </w:r>
            <w:r w:rsidRPr="00F303BC" w:rsidR="0074231A">
              <w:rPr>
                <w:rFonts w:ascii="Aptos" w:hAnsi="Aptos" w:cstheme="majorHAnsi"/>
                <w:color w:val="000000"/>
                <w:szCs w:val="22"/>
              </w:rPr>
              <w:t>rzwi przesuwne w pionie, całkowicie przeszklone z ramą ze stali kwasoodpornej, automatycznie otwierane i zamykane przy pomocy przycisków na panelu sterującym urządzeniem, dostęp do przestrzeni serwisowej z przodu lub z tyłu urządzenia, automatyczna blokada drzwi w trakcie procesu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74231A" w14:paraId="24D06557" w14:textId="57B9DB38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  <w:r w:rsidRPr="00F303BC" w:rsidR="008D1481">
              <w:rPr>
                <w:rFonts w:ascii="Aptos" w:hAnsi="Aptos" w:cstheme="majorHAnsi"/>
                <w:szCs w:val="22"/>
              </w:rPr>
              <w:t xml:space="preserve"> 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69CC714D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8D1481" w:rsidTr="492E456F" w14:paraId="33A01EF0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8D1481" w:rsidP="00531883" w:rsidRDefault="008D1481" w14:paraId="651B45A9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6.</w:t>
            </w:r>
          </w:p>
        </w:tc>
        <w:tc>
          <w:tcPr>
            <w:tcW w:w="4860" w:type="dxa"/>
            <w:tcMar/>
            <w:vAlign w:val="center"/>
          </w:tcPr>
          <w:p w:rsidRPr="00F303BC" w:rsidR="008D1481" w:rsidP="00531883" w:rsidRDefault="0046548B" w14:paraId="624C42BA" w14:textId="74B6814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Zasilanie elektryczne (400V), moc urządzenia nie przekraczająca 45 kW</w:t>
            </w:r>
          </w:p>
        </w:tc>
        <w:tc>
          <w:tcPr>
            <w:tcW w:w="4252" w:type="dxa"/>
            <w:tcMar/>
            <w:vAlign w:val="center"/>
          </w:tcPr>
          <w:p w:rsidRPr="00F303BC" w:rsidR="008D1481" w:rsidP="00531883" w:rsidRDefault="008D1481" w14:paraId="22A8CDB6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8D1481" w:rsidP="00531883" w:rsidRDefault="008D1481" w14:paraId="40E8876C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18C5169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3E88FB47" w14:textId="52FA773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7.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281C9F39" w14:textId="6DBBEC64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Ogrzewana elektrycznie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D150BAC" w14:textId="5D68A4B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5B6DA7A4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3122640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20CFBBD3" w14:textId="40DBEB01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8.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C6550F0" w14:textId="758D60B8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Możliwość mycia i dezynfekcji narzędzi chirurgicznych w tym laparoskopowych oraz robota Da Vinci, osprzętu anestezjologicznego, </w:t>
            </w:r>
            <w:r w:rsidRPr="00F303BC">
              <w:rPr>
                <w:rFonts w:ascii="Aptos" w:hAnsi="Aptos" w:cstheme="majorHAnsi"/>
                <w:color w:val="000000"/>
                <w:szCs w:val="22"/>
              </w:rPr>
              <w:t>pojemników sterylizacyjnych, akcesoriów i butów operacyjnych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35DEE560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431253B7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077C35A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18B0FA0A" w14:textId="77FE61D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9. 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8750C87" w14:textId="569FB788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Komora myjni, elementy funkcjonalne (ramiona spryskujące, przewody rurowe, elementy grzejne), obudowa – wykonanie ze stali nierdzewnej/kwasoodpornej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1D6E7F0C" w14:textId="4DFE4A31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330CA755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ACDA0E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20A11549" w14:textId="5B779CF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10.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EBA5853" w14:textId="134425F5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 komorze minimum dwa przyłącza - zlokalizowane po przeciwnych stronach komory -  układu cyrkulacji roztworów roboczych do podłączenia wózka załadowczego i zasilenia obiegu wewnętrznego wózka i ramion natryskowych na poszczególnych poziomach wózka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2DDB5AF2" w14:textId="3870D50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533CB3E1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6E30364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77CEE0BA" w14:textId="65742BD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11.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69042B2" w14:textId="0D697618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Końcowe płukanie wodą zdemineralizowaną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775B7BB4" w14:textId="70A4E02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0BA5AED1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247C132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667D869" w14:textId="309A111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12. 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38E61A59" w14:textId="78AD226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Min. 4 pompy dozujące środki chemiczne, pomiar dozowanych środków przy pomocy przepływomierzy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E8D98E1" w14:textId="63EA7D9C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492ED3B1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73580F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484AFAD" w14:textId="62B4F2A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13. 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1546753" w14:textId="616F887A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Możliwość umieszczenia w myjni minimum 4 kanistrów 10-cio litrowych ze środkami lub zbiorników buforowych centralnego systemu dozowania, kontrola poziomu dozowanych środków chemicznych w zbiornikach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2E0CAF13" w14:textId="290BD58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37A5302A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07BDCD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573EAEB0" w14:textId="7B58B73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14.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1AC0739A" w14:textId="15792401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Pomiar dozowanych środków przy pomocy przepływomierzy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41F905E" w14:textId="6366F33B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29F2538C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4294D91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F11C043" w14:textId="7F8E197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15.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1709CD18" w14:textId="0973CDD0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Kontrola poziomu dozowanych środków chemicznych w zbiornikach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E0DC3D8" w14:textId="3AAB677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211F232A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42D4A1C4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A6240E8" w14:textId="5DFB610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16.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660F2A6" w14:textId="4A004E92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Sterowanie i kontrola pracy urządzenia za pomocą sterownika mikroprocesorowego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049B97F" w14:textId="7AFDB50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075E2C42" w14:textId="42D5FDF1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990F28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67AC914D" w14:textId="52507D11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17.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624F1DB3" w14:textId="4A8376CA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Automatyczna archiwizacja ostatnich min. 10000 raportów i wykresów procesu w sterowniku myjni, oraz automatyczna transmisja raportów procesu do systemu komputerowego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103336FE" w14:textId="7B479C1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17D17562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4D270A6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5EAE3C76" w14:textId="08BD843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18.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D526C15" w14:textId="4B7F3345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Procesy realizowane automatycznie bez potrzeby ingerencji ze strony użytkownika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3E094D14" w14:textId="6921A45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05DEBDE1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5B623D99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536F14B7" w14:textId="457A8D0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19.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677A8FA3" w14:textId="743935A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Sterownik urządzenia wyposażony w kolorowy ekran dotykowy o przekątnej minimum 7 cali po stronie załadowczej i wyładowczej do obsługi urządzenia, wyświetlania komunikatów tekstowych, wizualizacja na ekranie wykresu temperatury i ciśnienia w systemie obiegowym, czasu do zakończenia procesu i wskazania faz procesu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3E55447" w14:textId="4E1DE26C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6FDF0F7E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622B30DF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00BCE59A" w14:textId="37DA5B3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20.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69C0EC35" w14:textId="4EE97218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Sterownik wyposażony w złącze umożliwiające podłączenie urządzenia do systemu komputerowego do monitorowania procesów sterylizacji, mycia, dezynfekcji oraz ewidencji narzędzi a także wyliczania kosztów obróbki narzędzi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29328DFD" w14:textId="6CCACFE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137DF4F6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204FF43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33B78503" w14:textId="132664B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21.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22768761" w14:textId="4A451419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Wbudowana drukarka do wydruku protokołów tekstowych i wykresów przebiegu procesu mycia i dezynfekcji w postaci gotowego raportu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38344C10" w14:textId="577E2828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4956C1A7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70A8F54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0C316F76" w14:textId="6F0FBF7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22.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5F8DB4F7" w14:textId="5830C4AE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Programy mycia i dezynfekcji termicznej ze sterowaniem wg wymaganej wartości </w:t>
            </w:r>
            <w:proofErr w:type="spellStart"/>
            <w:r w:rsidRPr="00F303BC">
              <w:rPr>
                <w:rFonts w:ascii="Aptos" w:hAnsi="Aptos" w:cstheme="majorHAnsi"/>
                <w:color w:val="000000"/>
                <w:szCs w:val="22"/>
              </w:rPr>
              <w:t>Ao</w:t>
            </w:r>
            <w:proofErr w:type="spellEnd"/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 i dezynfekcji chemiczno-termicznej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5A646349" w14:textId="3E21571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5841D583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200C1A1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37C44CE6" w14:textId="62255C5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23.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00C6DEA3" w14:textId="70D4A07D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Liczba programów mycia – nie mniej niż 5 wybieranych bezpośrednio z kolorowego ekranu dotykowego sterownika, możliwość zaprogramowania dowolnych programów użytkownika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6857C6D7" w14:textId="0F11F9B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TAK(podać)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0A7405B8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1E36C9" w:rsidTr="492E456F" w14:paraId="613634EB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1E36C9" w:rsidP="001E36C9" w:rsidRDefault="001E36C9" w14:paraId="0FDF75D3" w14:textId="31A4ABC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24</w:t>
            </w:r>
            <w:r w:rsidRPr="00F303BC" w:rsidR="002B780C">
              <w:rPr>
                <w:rFonts w:ascii="Aptos" w:hAnsi="Aptos" w:cstheme="majorHAnsi"/>
                <w:szCs w:val="22"/>
              </w:rPr>
              <w:t>.</w:t>
            </w:r>
          </w:p>
          <w:p w:rsidRPr="00F303BC" w:rsidR="001E36C9" w:rsidP="001E36C9" w:rsidRDefault="001E36C9" w14:paraId="5CAB1E61" w14:textId="49424F0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.</w:t>
            </w:r>
          </w:p>
        </w:tc>
        <w:tc>
          <w:tcPr>
            <w:tcW w:w="4860" w:type="dxa"/>
            <w:tcMar/>
            <w:vAlign w:val="center"/>
          </w:tcPr>
          <w:p w:rsidRPr="00F303BC" w:rsidR="001E36C9" w:rsidP="001E36C9" w:rsidRDefault="001E36C9" w14:paraId="2BB95358" w14:textId="1752AE7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Wyposażona w zintegrowaną, wydajną suszarkę załadunku, konstrukcja suszarki zapewniająca mycie i dezynfekcję przestrzeni wewnętrznych suszarki w trakcie procesu, element grzejny suszarki umieszczony wewnątrz komory, suszarka z możliwością nastawy temperatury i czasu, wyposażona w system filtrów powietrza używanego do suszenia, zgodny z normą PN EN 15883</w:t>
            </w:r>
          </w:p>
        </w:tc>
        <w:tc>
          <w:tcPr>
            <w:tcW w:w="4252" w:type="dxa"/>
            <w:tcMar/>
            <w:vAlign w:val="center"/>
          </w:tcPr>
          <w:p w:rsidRPr="00F303BC" w:rsidR="001E36C9" w:rsidP="001E36C9" w:rsidRDefault="001E36C9" w14:paraId="7FBF2437" w14:textId="78027D0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1E36C9" w:rsidP="001E36C9" w:rsidRDefault="001E36C9" w14:paraId="62DD5C99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58EBBCBD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0FFD993F" w14:textId="56683A3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25.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0EECB745" w14:textId="778D1615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Diagnostyczny program serwisowy i programowalna książka serwisowa w sterowniku (informacja o potrzebie wykonania przeglądu technicznego), zdalne diagnozowanie poprzez złącze sieciowe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2A3F7A14" w14:textId="7A9521E1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603B2AF4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1228F5C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73F9D30B" w14:textId="62290EE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26.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5222499A" w14:textId="701A8768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Spust wody z komory za pomocą wydajnej pompy odpływowej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086E757C" w14:textId="7AB345AC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109DD60A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250A0AF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99E4C04" w14:textId="57076A4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27.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68D6FBA9" w14:textId="52854B75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Temperatura ścieku nie przekraczająca 60°C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1A8163CE" w14:textId="5EACB8A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70DE8E67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53D9CE2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578C342F" w14:textId="2EAFD6F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28.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38BAD102" w14:textId="0AAAF9B6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Wyłączniki bezpieczeństwa z sygnalizacją ich użycia na panelach czołowych po stronie załadowczej i wyładowczej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71F0FCB6" w14:textId="63D4FDF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451BBACB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43FA4C2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01FF86E9" w14:textId="0494134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29.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2E7478D" w14:textId="217C06ED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3DB0BAD3" w14:textId="3F3E1AD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3FFC0FE3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125B5962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690B75F" w14:textId="7931A7E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30.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8D77C4C" w14:textId="5050C1AC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Oświetlenie elektryczne wnętrza komory umożliwiające obserwację prawidłowości procesu mycia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0DC83FB6" w14:textId="2280AEF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5640E343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4C0FA01A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F303BC" w:rsidR="00FB64FF" w:rsidP="00FB64FF" w:rsidRDefault="00FB64FF" w14:paraId="0CA90ACA" w14:textId="67FCA835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WYPOSAŻENIE MYJNI</w:t>
            </w:r>
          </w:p>
        </w:tc>
      </w:tr>
      <w:tr w:rsidRPr="00F303BC" w:rsidR="00FB64FF" w:rsidTr="492E456F" w14:paraId="0D514FD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4468B5F5" w14:textId="458ECFA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31.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001956CB" w14:textId="0E1F4646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Wózek transportowy z systemem dokowania do oferowanej myjni dezynfektora i zbiorniczkiem ociekowym, z systemem sztywnego dokowania do myjni oraz z systemem uniemożliwiającym przypadkowe spadnięcie wózka załadowczego – 4 szt.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6723549A" w14:textId="318B423E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  <w:r w:rsidRPr="00F303BC">
              <w:rPr>
                <w:rFonts w:ascii="Aptos" w:hAnsi="Aptos" w:cstheme="majorHAnsi"/>
                <w:szCs w:val="22"/>
                <w:lang w:val="en-US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51719441" w14:textId="77777777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</w:p>
        </w:tc>
      </w:tr>
      <w:tr w:rsidRPr="00F303BC" w:rsidR="00FB64FF" w:rsidTr="492E456F" w14:paraId="11BBFECE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5092E0D6" w14:textId="70199BAA">
            <w:pPr>
              <w:jc w:val="center"/>
              <w:rPr>
                <w:rFonts w:ascii="Aptos" w:hAnsi="Aptos" w:cstheme="majorHAnsi"/>
                <w:szCs w:val="22"/>
                <w:lang w:val="en-US"/>
              </w:rPr>
            </w:pPr>
            <w:r w:rsidRPr="00F303BC">
              <w:rPr>
                <w:rFonts w:ascii="Aptos" w:hAnsi="Aptos" w:cstheme="majorHAnsi"/>
                <w:szCs w:val="22"/>
                <w:lang w:val="en-US"/>
              </w:rPr>
              <w:t>32.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2DC84C08" w14:textId="6F751501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Wózek załadowczy, specjalny pięciopoziomowy z wyjmowanymi 3 poziomami, do jednoczesnego mycia narzędzi na 15 tacach o wymiarach maksymalnych 580x255x70 mm (dł. x szer. x wys.).– 2 szt.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7819A406" w14:textId="31345CB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0AB66136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3094F963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46146EB" w14:textId="716E203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33.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72EA6249" w14:textId="0E9F15F9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Kompletny wózek załadowczy do mycia narzędzi laparoskopowych na modułach (wyposażone w wężyki z systemem </w:t>
            </w:r>
            <w:proofErr w:type="spellStart"/>
            <w:r w:rsidRPr="00F303BC">
              <w:rPr>
                <w:rFonts w:ascii="Aptos" w:hAnsi="Aptos" w:cstheme="majorHAnsi"/>
                <w:szCs w:val="22"/>
              </w:rPr>
              <w:t>LuerLock</w:t>
            </w:r>
            <w:proofErr w:type="spellEnd"/>
            <w:r w:rsidRPr="00F303BC">
              <w:rPr>
                <w:rFonts w:ascii="Aptos" w:hAnsi="Aptos" w:cstheme="majorHAnsi"/>
                <w:szCs w:val="22"/>
              </w:rPr>
              <w:t>)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24C97E36" w14:textId="7832990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60FBA279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7339826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773E3A8D" w14:textId="7CFB92C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34.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29592318" w14:textId="6C3B7224">
            <w:pPr>
              <w:jc w:val="both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Wózek załadowczy z możliwością doposażenia w przyłącza do mycia endoskopów sztywnych/narzędzi mikrochirurgicznych z kanałem roboczym.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5BA40A89" w14:textId="668D51F8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(proszę opisać)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3F351A2A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08E7F74A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738DF451" w14:textId="2D1D449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35.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27E2C8FB" w14:textId="0CCCD3E7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Taca narzędziowa 480x250x70 mm wykonana z drutu ze stali kwasoodpornej – 20 szt.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4244FAE8" w14:textId="7C7DC98B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6B5A792F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419B7435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5F92758E" w14:textId="3D6E5FFB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36.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10B4B6EC" w14:textId="1669B2F0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Pojemnik na druty Kirchnera o wymiarach: średnica 30 mm </w:t>
            </w:r>
            <w:proofErr w:type="spellStart"/>
            <w:r w:rsidRPr="00F303BC">
              <w:rPr>
                <w:rFonts w:ascii="Aptos" w:hAnsi="Aptos" w:cstheme="majorHAnsi"/>
                <w:color w:val="000000"/>
                <w:szCs w:val="22"/>
              </w:rPr>
              <w:t>dł</w:t>
            </w:r>
            <w:proofErr w:type="spellEnd"/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 400 mm, jednokomorowy, siatka 0,3 mm, oczka 1x1 mm, wykonany ze stali nierdzewnej – 4 szt.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7FDA2DEF" w14:textId="4682FDC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70211E7C" w14:textId="77777777">
            <w:pPr>
              <w:jc w:val="center"/>
              <w:rPr>
                <w:rFonts w:ascii="Aptos" w:hAnsi="Aptos" w:cstheme="majorHAnsi"/>
                <w:szCs w:val="22"/>
              </w:rPr>
            </w:pPr>
          </w:p>
        </w:tc>
      </w:tr>
      <w:tr w:rsidRPr="00F303BC" w:rsidR="00FB64FF" w:rsidTr="492E456F" w14:paraId="1C4ADDE4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F303BC" w:rsidR="00FB64FF" w:rsidP="00FB64FF" w:rsidRDefault="00FB64FF" w14:paraId="37824982" w14:textId="686C3D5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Opcje oceniane:</w:t>
            </w:r>
          </w:p>
        </w:tc>
      </w:tr>
      <w:tr w:rsidRPr="00F303BC" w:rsidR="00FB64FF" w:rsidTr="492E456F" w14:paraId="7BB9A6F8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7F2F2940" w14:textId="3ABBD77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37.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F4E69A5" w14:textId="76E59EAD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Kompatybilność wózków wsadowych i transportowych z myjnią 15-tacową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0E37C047" w14:textId="1F8A1D8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0BD81566" w14:textId="1D6CA7FD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74AD59D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C476BC9" w14:textId="7D50F63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38.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7AFEC2E0" w14:textId="7EEF77A3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 xml:space="preserve">Możliwość odtworzenia danych urządzenia w przypadku ich utraty bez udziału serwisu producenta. Urządzenie posiada możliwość odtworzenia min. archiwum cykli i listy błędów oraz ustawień programów.  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1A8708CF" w14:textId="1BFACC4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4969A35F" w14:textId="6B75037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51C89EE7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395D51C5" w14:textId="3BD85080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39.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C16CE5A" w14:textId="2692B167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Wbudowany zbiornik przygotowawczy do podgrzania wody zdemineralizowanej przeznaczonej do dezynfekcji termicznej, zbiornik usytuowany poza komora mycia i komorą spustową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21F74018" w14:textId="25612E6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256293B0" w14:textId="4135BEC2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08E105F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26706893" w14:textId="6D4B4036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40.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4168A7D1" w14:textId="72500237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Wbudowany zbiornik do odzysku wody zdemineralizowanej do użycia w innej fazie następnego procesu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66FAE3A7" w14:textId="2FFFDB5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41FC58A2" w14:textId="5238FD1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69527641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3BAE704E" w14:textId="23C8B40F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41.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2E17342F" w14:textId="398920FA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Elementy suszarki podlegające dezynfekcji w trakcie każdego cyklu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4B39AC5D" w14:textId="712F560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7E965BF3" w14:textId="508A9024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135C62C6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1B8F9AEB" w14:textId="0720B039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42.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492E456F" w:rsidRDefault="00FB64FF" w14:paraId="6F36F426" w14:textId="73A157F6">
            <w:pPr>
              <w:jc w:val="both"/>
              <w:rPr>
                <w:rFonts w:ascii="Aptos" w:hAnsi="Aptos" w:cs="Calibri Light" w:cstheme="majorAscii"/>
                <w:color w:val="000000"/>
              </w:rPr>
            </w:pPr>
            <w:r w:rsidRPr="492E456F" w:rsidR="00FB64FF">
              <w:rPr>
                <w:rFonts w:ascii="Aptos" w:hAnsi="Aptos" w:cs="Calibri Light" w:cstheme="majorAscii"/>
                <w:color w:val="000000" w:themeColor="text1" w:themeTint="FF" w:themeShade="FF"/>
              </w:rPr>
              <w:t xml:space="preserve">Wózek z poz. </w:t>
            </w:r>
            <w:r w:rsidRPr="492E456F" w:rsidR="65B5C2AA">
              <w:rPr>
                <w:rFonts w:ascii="Aptos" w:hAnsi="Aptos" w:cs="Calibri Light" w:cstheme="majorAscii"/>
                <w:color w:val="000000" w:themeColor="text1" w:themeTint="FF" w:themeShade="FF"/>
              </w:rPr>
              <w:t>34</w:t>
            </w:r>
            <w:r w:rsidRPr="492E456F" w:rsidR="00FB64FF">
              <w:rPr>
                <w:rFonts w:ascii="Aptos" w:hAnsi="Aptos" w:cs="Calibri Light" w:cstheme="majorAscii"/>
                <w:color w:val="000000" w:themeColor="text1" w:themeTint="FF" w:themeShade="FF"/>
              </w:rPr>
              <w:t xml:space="preserve"> możliwością mycia pojemników sterylizacyjnych o pojemności 4 pojemników 1/1 STU wraz z pokrywami lub 6 pojemników 1/2 STU wraz z pokrywami.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2A413A49" w14:textId="6E61BB0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2365CC53" w14:textId="1EB823B3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TAK – 5 pkt., NIE – 0 pkt.</w:t>
            </w:r>
          </w:p>
        </w:tc>
      </w:tr>
      <w:tr w:rsidRPr="00F303BC" w:rsidR="00FB64FF" w:rsidTr="492E456F" w14:paraId="329B2179" w14:textId="77777777">
        <w:trPr>
          <w:jc w:val="center"/>
        </w:trPr>
        <w:tc>
          <w:tcPr>
            <w:tcW w:w="14029" w:type="dxa"/>
            <w:gridSpan w:val="4"/>
            <w:tcMar/>
            <w:vAlign w:val="center"/>
          </w:tcPr>
          <w:p w:rsidRPr="00F303BC" w:rsidR="00FB64FF" w:rsidP="00FB64FF" w:rsidRDefault="00FB64FF" w14:paraId="0D773E3B" w14:textId="2DA796D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Gwarancja</w:t>
            </w:r>
          </w:p>
        </w:tc>
      </w:tr>
      <w:tr w:rsidRPr="00F303BC" w:rsidR="00FB64FF" w:rsidTr="492E456F" w14:paraId="3870EDFC" w14:textId="77777777">
        <w:trPr>
          <w:jc w:val="center"/>
        </w:trPr>
        <w:tc>
          <w:tcPr>
            <w:tcW w:w="664" w:type="dxa"/>
            <w:tcMar/>
            <w:vAlign w:val="center"/>
          </w:tcPr>
          <w:p w:rsidRPr="00F303BC" w:rsidR="00FB64FF" w:rsidP="00FB64FF" w:rsidRDefault="00FB64FF" w14:paraId="045FDB3E" w14:textId="633DA1DA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43.</w:t>
            </w:r>
          </w:p>
        </w:tc>
        <w:tc>
          <w:tcPr>
            <w:tcW w:w="4860" w:type="dxa"/>
            <w:tcMar/>
            <w:vAlign w:val="center"/>
          </w:tcPr>
          <w:p w:rsidRPr="00F303BC" w:rsidR="00FB64FF" w:rsidP="00FB64FF" w:rsidRDefault="00FB64FF" w14:paraId="6C6A7ECC" w14:textId="25805E93">
            <w:pPr>
              <w:jc w:val="both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Gwarancja min. 60 miesięcy</w:t>
            </w:r>
          </w:p>
        </w:tc>
        <w:tc>
          <w:tcPr>
            <w:tcW w:w="4252" w:type="dxa"/>
            <w:tcMar/>
            <w:vAlign w:val="center"/>
          </w:tcPr>
          <w:p w:rsidRPr="00F303BC" w:rsidR="00FB64FF" w:rsidP="00FB64FF" w:rsidRDefault="00FB64FF" w14:paraId="4C8F532E" w14:textId="48B8EA78">
            <w:pPr>
              <w:jc w:val="center"/>
              <w:rPr>
                <w:rFonts w:ascii="Aptos" w:hAnsi="Aptos" w:cstheme="majorHAnsi"/>
                <w:color w:val="000000"/>
                <w:szCs w:val="22"/>
              </w:rPr>
            </w:pPr>
            <w:r w:rsidRPr="00F303BC">
              <w:rPr>
                <w:rFonts w:ascii="Aptos" w:hAnsi="Aptos" w:cstheme="majorHAnsi"/>
                <w:color w:val="000000"/>
                <w:szCs w:val="22"/>
              </w:rPr>
              <w:t>TAK/NIE</w:t>
            </w:r>
          </w:p>
        </w:tc>
        <w:tc>
          <w:tcPr>
            <w:tcW w:w="4253" w:type="dxa"/>
            <w:tcMar/>
            <w:vAlign w:val="center"/>
          </w:tcPr>
          <w:p w:rsidRPr="00F303BC" w:rsidR="00FB64FF" w:rsidP="00FB64FF" w:rsidRDefault="00FB64FF" w14:paraId="7907D8DA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Gwarancja 60 miesięcy – 0 pkt.</w:t>
            </w:r>
          </w:p>
          <w:p w:rsidRPr="00F303BC" w:rsidR="00FB64FF" w:rsidP="00FB64FF" w:rsidRDefault="00FB64FF" w14:paraId="3D172C8A" w14:textId="77777777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>Gwarancja 72 miesiące – 5 pkt.</w:t>
            </w:r>
          </w:p>
          <w:p w:rsidRPr="00F303BC" w:rsidR="00FB64FF" w:rsidP="00FB64FF" w:rsidRDefault="00FB64FF" w14:paraId="3D148206" w14:textId="348BCDCE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Gwarancja 84 miesiące – </w:t>
            </w:r>
            <w:r w:rsidR="00201627">
              <w:rPr>
                <w:rFonts w:ascii="Aptos" w:hAnsi="Aptos" w:cstheme="majorHAnsi"/>
                <w:szCs w:val="22"/>
              </w:rPr>
              <w:t>8</w:t>
            </w:r>
            <w:r w:rsidRPr="00F303BC">
              <w:rPr>
                <w:rFonts w:ascii="Aptos" w:hAnsi="Aptos" w:cstheme="majorHAnsi"/>
                <w:szCs w:val="22"/>
              </w:rPr>
              <w:t xml:space="preserve"> pkt.</w:t>
            </w:r>
          </w:p>
          <w:p w:rsidRPr="00F303BC" w:rsidR="00FB64FF" w:rsidP="00FB64FF" w:rsidRDefault="00FB64FF" w14:paraId="3176DFB5" w14:textId="62B7A88B">
            <w:pPr>
              <w:jc w:val="center"/>
              <w:rPr>
                <w:rFonts w:ascii="Aptos" w:hAnsi="Aptos" w:cstheme="majorHAnsi"/>
                <w:szCs w:val="22"/>
              </w:rPr>
            </w:pPr>
            <w:r w:rsidRPr="00F303BC">
              <w:rPr>
                <w:rFonts w:ascii="Aptos" w:hAnsi="Aptos" w:cstheme="majorHAnsi"/>
                <w:szCs w:val="22"/>
              </w:rPr>
              <w:t xml:space="preserve">Gwarancja – 96 miesięcy </w:t>
            </w:r>
            <w:r w:rsidR="00201627">
              <w:rPr>
                <w:rFonts w:ascii="Aptos" w:hAnsi="Aptos" w:cstheme="majorHAnsi"/>
                <w:szCs w:val="22"/>
              </w:rPr>
              <w:t>1</w:t>
            </w:r>
            <w:r w:rsidRPr="00F303BC">
              <w:rPr>
                <w:rFonts w:ascii="Aptos" w:hAnsi="Aptos" w:cstheme="majorHAnsi"/>
                <w:szCs w:val="22"/>
              </w:rPr>
              <w:t xml:space="preserve">0 pkt. </w:t>
            </w:r>
          </w:p>
        </w:tc>
      </w:tr>
    </w:tbl>
    <w:p w:rsidRPr="00F303BC" w:rsidR="006A431E" w:rsidP="00841B6C" w:rsidRDefault="006A431E" w14:paraId="427CF792" w14:textId="77777777">
      <w:pPr>
        <w:rPr>
          <w:rFonts w:ascii="Aptos" w:hAnsi="Aptos" w:cstheme="majorHAnsi"/>
          <w:sz w:val="22"/>
          <w:szCs w:val="22"/>
        </w:rPr>
      </w:pPr>
    </w:p>
    <w:p w:rsidRPr="00F303BC" w:rsidR="00141BD7" w:rsidP="00841B6C" w:rsidRDefault="00141BD7" w14:paraId="4F327EDE" w14:textId="77777777">
      <w:pPr>
        <w:rPr>
          <w:rFonts w:ascii="Aptos" w:hAnsi="Aptos" w:cstheme="majorHAnsi"/>
          <w:sz w:val="22"/>
          <w:szCs w:val="22"/>
        </w:rPr>
      </w:pPr>
    </w:p>
    <w:p w:rsidR="00F570A8" w:rsidP="00F570A8" w:rsidRDefault="00F570A8" w14:paraId="43A90E8A" w14:textId="77777777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Uwaga:</w:t>
      </w:r>
    </w:p>
    <w:p w:rsidRPr="00DF4816" w:rsidR="00F570A8" w:rsidP="00F570A8" w:rsidRDefault="00F570A8" w14:paraId="479FA35E" w14:textId="77777777">
      <w:pPr>
        <w:rPr>
          <w:rFonts w:ascii="Aptos" w:hAnsi="Aptos"/>
          <w:sz w:val="22"/>
          <w:szCs w:val="22"/>
        </w:rPr>
      </w:pPr>
      <w:r w:rsidRPr="001B2088">
        <w:rPr>
          <w:rFonts w:ascii="Aptos" w:hAnsi="Aptos"/>
          <w:sz w:val="22"/>
          <w:szCs w:val="22"/>
        </w:rPr>
        <w:t>Dostawa musi być zrealizowana zgodnie z wymogami DNSH opisanymi w Zapytaniu Ofertowym (opakowania biodegradowalne/zwrotne).</w:t>
      </w:r>
    </w:p>
    <w:p w:rsidRPr="00F303BC" w:rsidR="00141BD7" w:rsidP="00841B6C" w:rsidRDefault="00141BD7" w14:paraId="5F39FAE4" w14:textId="77777777">
      <w:pPr>
        <w:rPr>
          <w:rFonts w:ascii="Aptos" w:hAnsi="Aptos" w:cstheme="majorHAnsi"/>
          <w:sz w:val="22"/>
          <w:szCs w:val="22"/>
        </w:rPr>
      </w:pPr>
    </w:p>
    <w:p w:rsidRPr="00F303BC" w:rsidR="00DD5A39" w:rsidP="00841B6C" w:rsidRDefault="00DD5A39" w14:paraId="4E5ADA6A" w14:textId="77777777">
      <w:pPr>
        <w:rPr>
          <w:rFonts w:ascii="Aptos" w:hAnsi="Aptos" w:cstheme="majorHAnsi"/>
          <w:sz w:val="22"/>
          <w:szCs w:val="22"/>
        </w:rPr>
      </w:pPr>
    </w:p>
    <w:p w:rsidRPr="00F303BC" w:rsidR="00B3077D" w:rsidP="00841B6C" w:rsidRDefault="00B3077D" w14:paraId="0E79E954" w14:textId="77777777">
      <w:pPr>
        <w:pStyle w:val="NormalnyWeb"/>
        <w:shd w:val="clear" w:color="auto" w:fill="FFFFFF"/>
        <w:spacing w:before="0" w:beforeAutospacing="0" w:after="0" w:afterAutospacing="0"/>
        <w:rPr>
          <w:rFonts w:ascii="Aptos" w:hAnsi="Aptos" w:cstheme="majorHAnsi"/>
          <w:sz w:val="22"/>
          <w:szCs w:val="22"/>
        </w:rPr>
      </w:pPr>
    </w:p>
    <w:p w:rsidRPr="00F303BC" w:rsidR="00B3077D" w:rsidP="00841B6C" w:rsidRDefault="00B3077D" w14:paraId="6D81AF13" w14:textId="3E32F0CA">
      <w:pPr>
        <w:contextualSpacing/>
        <w:rPr>
          <w:rFonts w:ascii="Aptos" w:hAnsi="Aptos" w:cstheme="majorHAnsi"/>
          <w:sz w:val="22"/>
          <w:szCs w:val="22"/>
        </w:rPr>
      </w:pPr>
      <w:r w:rsidRPr="00F303BC">
        <w:rPr>
          <w:rFonts w:ascii="Aptos" w:hAnsi="Aptos" w:cstheme="majorHAnsi"/>
          <w:sz w:val="22"/>
          <w:szCs w:val="22"/>
          <w:lang w:eastAsia="pl-PL"/>
        </w:rPr>
        <w:tab/>
      </w:r>
      <w:r w:rsidRPr="00F303BC">
        <w:rPr>
          <w:rFonts w:ascii="Aptos" w:hAnsi="Aptos" w:cstheme="majorHAnsi"/>
          <w:sz w:val="22"/>
          <w:szCs w:val="22"/>
          <w:lang w:eastAsia="pl-PL"/>
        </w:rPr>
        <w:tab/>
      </w:r>
      <w:r w:rsidRPr="00F303BC">
        <w:rPr>
          <w:rFonts w:ascii="Aptos" w:hAnsi="Aptos" w:cstheme="majorHAnsi"/>
          <w:sz w:val="22"/>
          <w:szCs w:val="22"/>
          <w:lang w:eastAsia="pl-PL"/>
        </w:rPr>
        <w:t xml:space="preserve">                     </w:t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  <w:r w:rsidRPr="00F303BC">
        <w:rPr>
          <w:rFonts w:ascii="Aptos" w:hAnsi="Aptos" w:cstheme="majorHAnsi"/>
          <w:sz w:val="22"/>
          <w:szCs w:val="22"/>
          <w:lang w:eastAsia="pl-PL"/>
        </w:rPr>
        <w:t xml:space="preserve">  </w:t>
      </w:r>
      <w:r w:rsidRPr="00F303BC" w:rsidR="00D9402F">
        <w:rPr>
          <w:rFonts w:ascii="Aptos" w:hAnsi="Aptos" w:cstheme="majorHAnsi"/>
          <w:sz w:val="22"/>
          <w:szCs w:val="22"/>
          <w:lang w:eastAsia="pl-PL"/>
        </w:rPr>
        <w:tab/>
      </w:r>
    </w:p>
    <w:p w:rsidRPr="00F303BC" w:rsidR="000649B2" w:rsidP="00841B6C" w:rsidRDefault="000649B2" w14:paraId="23266DE8" w14:textId="77777777">
      <w:pPr>
        <w:contextualSpacing/>
        <w:rPr>
          <w:rFonts w:ascii="Aptos" w:hAnsi="Aptos" w:cstheme="majorHAnsi"/>
          <w:sz w:val="22"/>
          <w:szCs w:val="22"/>
        </w:rPr>
      </w:pPr>
    </w:p>
    <w:sectPr w:rsidRPr="00F303BC" w:rsidR="000649B2" w:rsidSect="00D827AC">
      <w:footerReference w:type="default" r:id="rId10"/>
      <w:headerReference w:type="first" r:id="rId11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2E40" w:rsidP="00655CBD" w:rsidRDefault="005F2E40" w14:paraId="1BE533C3" w14:textId="77777777">
      <w:r>
        <w:separator/>
      </w:r>
    </w:p>
  </w:endnote>
  <w:endnote w:type="continuationSeparator" w:id="0">
    <w:p w:rsidR="005F2E40" w:rsidP="00655CBD" w:rsidRDefault="005F2E40" w14:paraId="5D95D4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0046664"/>
      <w:docPartObj>
        <w:docPartGallery w:val="Page Numbers (Bottom of Page)"/>
        <w:docPartUnique/>
      </w:docPartObj>
      <w:rPr>
        <w:rFonts w:ascii="Calibri Light" w:hAnsi="Calibri Light" w:eastAsia="" w:cs="Calibri Light" w:asciiTheme="majorAscii" w:hAnsiTheme="majorAscii" w:eastAsiaTheme="majorEastAsia" w:cstheme="majorAscii"/>
        <w:lang w:val="pl-PL"/>
      </w:rPr>
    </w:sdtPr>
    <w:sdtEndPr>
      <w:rPr>
        <w:rFonts w:ascii="Calibri Light" w:hAnsi="Calibri Light" w:eastAsia="" w:cs="Calibri Light" w:asciiTheme="majorAscii" w:hAnsiTheme="majorAscii" w:eastAsiaTheme="majorEastAsia" w:cstheme="majorAscii"/>
        <w:lang w:val="pl-PL"/>
      </w:rPr>
    </w:sdtEndPr>
    <w:sdtContent>
      <w:p w:rsidRPr="00FC50E6" w:rsidR="005D5182" w:rsidRDefault="005D5182" w14:paraId="0DB76789" w14:textId="77777777">
        <w:pPr>
          <w:pStyle w:val="Stopka"/>
          <w:jc w:val="right"/>
          <w:rPr>
            <w:rFonts w:asciiTheme="majorHAnsi" w:hAnsiTheme="majorHAnsi" w:eastAsiaTheme="majorEastAsia" w:cstheme="majorHAnsi"/>
          </w:rPr>
        </w:pPr>
        <w:r w:rsidRPr="00FC50E6">
          <w:rPr>
            <w:rFonts w:asciiTheme="majorHAnsi" w:hAnsiTheme="majorHAnsi" w:eastAsiaTheme="majorEastAsia" w:cstheme="majorHAnsi"/>
            <w:lang w:val="pl-PL"/>
          </w:rPr>
          <w:t xml:space="preserve">str. </w:t>
        </w:r>
        <w:r w:rsidRPr="00FC50E6">
          <w:rPr>
            <w:rFonts w:asciiTheme="majorHAnsi" w:hAnsiTheme="majorHAnsi" w:eastAsiaTheme="minorEastAsia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hAnsiTheme="majorHAnsi" w:eastAsiaTheme="minorEastAsia" w:cstheme="majorHAnsi"/>
          </w:rPr>
          <w:fldChar w:fldCharType="separate"/>
        </w:r>
        <w:r w:rsidRPr="0060094A" w:rsidR="0060094A">
          <w:rPr>
            <w:rFonts w:asciiTheme="majorHAnsi" w:hAnsiTheme="majorHAnsi" w:eastAsiaTheme="majorEastAsia" w:cstheme="majorHAnsi"/>
            <w:noProof/>
            <w:lang w:val="pl-PL"/>
          </w:rPr>
          <w:t>2</w:t>
        </w:r>
        <w:r w:rsidRPr="00FC50E6">
          <w:rPr>
            <w:rFonts w:asciiTheme="majorHAnsi" w:hAnsiTheme="majorHAnsi" w:eastAsiaTheme="majorEastAsia" w:cstheme="majorHAnsi"/>
          </w:rPr>
          <w:fldChar w:fldCharType="end"/>
        </w:r>
      </w:p>
    </w:sdtContent>
  </w:sdt>
  <w:p w:rsidR="005D5182" w:rsidRDefault="005D5182" w14:paraId="500BBCD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2E40" w:rsidP="00655CBD" w:rsidRDefault="005F2E40" w14:paraId="02EE0675" w14:textId="77777777">
      <w:r>
        <w:separator/>
      </w:r>
    </w:p>
  </w:footnote>
  <w:footnote w:type="continuationSeparator" w:id="0">
    <w:p w:rsidR="005F2E40" w:rsidP="00655CBD" w:rsidRDefault="005F2E40" w14:paraId="74FE1FC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27AC" w:rsidP="00D827AC" w:rsidRDefault="00D827AC" w14:paraId="23C88252" w14:textId="017EBA6F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9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3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5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hint="default" w:asciiTheme="maj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4220">
    <w:abstractNumId w:val="2"/>
  </w:num>
  <w:num w:numId="2" w16cid:durableId="864709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304569">
    <w:abstractNumId w:val="20"/>
  </w:num>
  <w:num w:numId="4" w16cid:durableId="595017356">
    <w:abstractNumId w:val="9"/>
  </w:num>
  <w:num w:numId="5" w16cid:durableId="2103138512">
    <w:abstractNumId w:val="3"/>
  </w:num>
  <w:num w:numId="6" w16cid:durableId="46028209">
    <w:abstractNumId w:val="15"/>
  </w:num>
  <w:num w:numId="7" w16cid:durableId="375742494">
    <w:abstractNumId w:val="4"/>
  </w:num>
  <w:num w:numId="8" w16cid:durableId="83916413">
    <w:abstractNumId w:val="16"/>
  </w:num>
  <w:num w:numId="9" w16cid:durableId="296229876">
    <w:abstractNumId w:val="7"/>
  </w:num>
  <w:num w:numId="10" w16cid:durableId="1003826456">
    <w:abstractNumId w:val="19"/>
  </w:num>
  <w:num w:numId="11" w16cid:durableId="1960070103">
    <w:abstractNumId w:val="18"/>
  </w:num>
  <w:num w:numId="12" w16cid:durableId="1659773342">
    <w:abstractNumId w:val="13"/>
  </w:num>
  <w:num w:numId="13" w16cid:durableId="1722316052">
    <w:abstractNumId w:val="17"/>
  </w:num>
  <w:num w:numId="14" w16cid:durableId="1333870210">
    <w:abstractNumId w:val="11"/>
  </w:num>
  <w:num w:numId="15" w16cid:durableId="1801217322">
    <w:abstractNumId w:val="12"/>
  </w:num>
  <w:num w:numId="16" w16cid:durableId="1790271043">
    <w:abstractNumId w:val="10"/>
  </w:num>
  <w:num w:numId="17" w16cid:durableId="506020286">
    <w:abstractNumId w:val="8"/>
  </w:num>
  <w:num w:numId="18" w16cid:durableId="2037074171">
    <w:abstractNumId w:val="14"/>
  </w:num>
  <w:num w:numId="19" w16cid:durableId="139153521">
    <w:abstractNumId w:val="5"/>
  </w:num>
  <w:num w:numId="20" w16cid:durableId="1913344029">
    <w:abstractNumId w:val="6"/>
  </w:num>
  <w:num w:numId="21" w16cid:durableId="1051415698">
    <w:abstractNumId w:val="1"/>
  </w:num>
  <w:numIdMacAtCleanup w:val="8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6CC0"/>
    <w:rsid w:val="000506F5"/>
    <w:rsid w:val="00053E85"/>
    <w:rsid w:val="00054D2A"/>
    <w:rsid w:val="00064801"/>
    <w:rsid w:val="000649B2"/>
    <w:rsid w:val="000750A4"/>
    <w:rsid w:val="00083E5B"/>
    <w:rsid w:val="00092BF7"/>
    <w:rsid w:val="000969E1"/>
    <w:rsid w:val="000A4618"/>
    <w:rsid w:val="000A46F0"/>
    <w:rsid w:val="000A4D8D"/>
    <w:rsid w:val="000A6DA6"/>
    <w:rsid w:val="000B1C93"/>
    <w:rsid w:val="000B3348"/>
    <w:rsid w:val="000E0E18"/>
    <w:rsid w:val="000E11E6"/>
    <w:rsid w:val="000E41AA"/>
    <w:rsid w:val="000E43B2"/>
    <w:rsid w:val="000F0406"/>
    <w:rsid w:val="000F6EFE"/>
    <w:rsid w:val="00106DEE"/>
    <w:rsid w:val="00111B29"/>
    <w:rsid w:val="001160A5"/>
    <w:rsid w:val="00124A6B"/>
    <w:rsid w:val="0012562D"/>
    <w:rsid w:val="0013066A"/>
    <w:rsid w:val="0014005B"/>
    <w:rsid w:val="00141BD7"/>
    <w:rsid w:val="00151A77"/>
    <w:rsid w:val="00152775"/>
    <w:rsid w:val="00152864"/>
    <w:rsid w:val="00160470"/>
    <w:rsid w:val="0016462A"/>
    <w:rsid w:val="00172F66"/>
    <w:rsid w:val="00191095"/>
    <w:rsid w:val="001A71AB"/>
    <w:rsid w:val="001B1360"/>
    <w:rsid w:val="001B2116"/>
    <w:rsid w:val="001D1833"/>
    <w:rsid w:val="001D53CA"/>
    <w:rsid w:val="001D5870"/>
    <w:rsid w:val="001E01E9"/>
    <w:rsid w:val="001E36C9"/>
    <w:rsid w:val="001F368B"/>
    <w:rsid w:val="001F480C"/>
    <w:rsid w:val="001F59FC"/>
    <w:rsid w:val="00201627"/>
    <w:rsid w:val="00210608"/>
    <w:rsid w:val="002126DF"/>
    <w:rsid w:val="00214E69"/>
    <w:rsid w:val="002173BD"/>
    <w:rsid w:val="0022269D"/>
    <w:rsid w:val="00230183"/>
    <w:rsid w:val="0023149D"/>
    <w:rsid w:val="00235617"/>
    <w:rsid w:val="00237D2E"/>
    <w:rsid w:val="00246EE0"/>
    <w:rsid w:val="00250480"/>
    <w:rsid w:val="00254800"/>
    <w:rsid w:val="002607AE"/>
    <w:rsid w:val="002654B4"/>
    <w:rsid w:val="002850E5"/>
    <w:rsid w:val="0029009B"/>
    <w:rsid w:val="0029123B"/>
    <w:rsid w:val="002966D1"/>
    <w:rsid w:val="00296E00"/>
    <w:rsid w:val="002A4C44"/>
    <w:rsid w:val="002B3D9F"/>
    <w:rsid w:val="002B780C"/>
    <w:rsid w:val="002D0A32"/>
    <w:rsid w:val="002D5A4F"/>
    <w:rsid w:val="002E2D31"/>
    <w:rsid w:val="002E612A"/>
    <w:rsid w:val="002E6523"/>
    <w:rsid w:val="002E72CF"/>
    <w:rsid w:val="002F1BA8"/>
    <w:rsid w:val="002F3C77"/>
    <w:rsid w:val="003007FB"/>
    <w:rsid w:val="003078ED"/>
    <w:rsid w:val="0031748E"/>
    <w:rsid w:val="0032099B"/>
    <w:rsid w:val="0033367F"/>
    <w:rsid w:val="00335047"/>
    <w:rsid w:val="00340739"/>
    <w:rsid w:val="00372B5E"/>
    <w:rsid w:val="00373207"/>
    <w:rsid w:val="00381A34"/>
    <w:rsid w:val="00382C28"/>
    <w:rsid w:val="003839CD"/>
    <w:rsid w:val="003940DF"/>
    <w:rsid w:val="00396180"/>
    <w:rsid w:val="003B24DA"/>
    <w:rsid w:val="003B32C2"/>
    <w:rsid w:val="003B5444"/>
    <w:rsid w:val="003D3A2A"/>
    <w:rsid w:val="003D698A"/>
    <w:rsid w:val="003E1107"/>
    <w:rsid w:val="003E24F3"/>
    <w:rsid w:val="003E38BA"/>
    <w:rsid w:val="003E5E84"/>
    <w:rsid w:val="003E6AA9"/>
    <w:rsid w:val="003F2E6D"/>
    <w:rsid w:val="003F3536"/>
    <w:rsid w:val="003F5301"/>
    <w:rsid w:val="004059C6"/>
    <w:rsid w:val="00425E9D"/>
    <w:rsid w:val="00426D22"/>
    <w:rsid w:val="00426F80"/>
    <w:rsid w:val="00430D02"/>
    <w:rsid w:val="004400A6"/>
    <w:rsid w:val="00440FC1"/>
    <w:rsid w:val="0046548B"/>
    <w:rsid w:val="00466DE0"/>
    <w:rsid w:val="00470E6D"/>
    <w:rsid w:val="00474966"/>
    <w:rsid w:val="00484F0D"/>
    <w:rsid w:val="004A4072"/>
    <w:rsid w:val="004A6F68"/>
    <w:rsid w:val="004B1521"/>
    <w:rsid w:val="004B2F4C"/>
    <w:rsid w:val="004C4575"/>
    <w:rsid w:val="004C48AC"/>
    <w:rsid w:val="004C5586"/>
    <w:rsid w:val="004C5C73"/>
    <w:rsid w:val="004D456E"/>
    <w:rsid w:val="004D574B"/>
    <w:rsid w:val="004D5F70"/>
    <w:rsid w:val="004E0CE5"/>
    <w:rsid w:val="004E268D"/>
    <w:rsid w:val="005000B1"/>
    <w:rsid w:val="00504FB1"/>
    <w:rsid w:val="005072D8"/>
    <w:rsid w:val="00510CBE"/>
    <w:rsid w:val="00523166"/>
    <w:rsid w:val="00524D86"/>
    <w:rsid w:val="00530DF5"/>
    <w:rsid w:val="00537323"/>
    <w:rsid w:val="00540786"/>
    <w:rsid w:val="00542586"/>
    <w:rsid w:val="00545D5E"/>
    <w:rsid w:val="00554FA0"/>
    <w:rsid w:val="0056069C"/>
    <w:rsid w:val="005738E7"/>
    <w:rsid w:val="005756FB"/>
    <w:rsid w:val="00580D63"/>
    <w:rsid w:val="00581E87"/>
    <w:rsid w:val="00596C6A"/>
    <w:rsid w:val="005C7247"/>
    <w:rsid w:val="005D5182"/>
    <w:rsid w:val="005D7C50"/>
    <w:rsid w:val="005E1DF1"/>
    <w:rsid w:val="005F2704"/>
    <w:rsid w:val="005F2E40"/>
    <w:rsid w:val="005F6FE1"/>
    <w:rsid w:val="0060094A"/>
    <w:rsid w:val="006150CD"/>
    <w:rsid w:val="00617379"/>
    <w:rsid w:val="0063020C"/>
    <w:rsid w:val="0063118A"/>
    <w:rsid w:val="00636428"/>
    <w:rsid w:val="00645B94"/>
    <w:rsid w:val="006533D9"/>
    <w:rsid w:val="00655CBD"/>
    <w:rsid w:val="00664EE2"/>
    <w:rsid w:val="00665271"/>
    <w:rsid w:val="00667CBD"/>
    <w:rsid w:val="0067137A"/>
    <w:rsid w:val="00672416"/>
    <w:rsid w:val="00682EAD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B77A3"/>
    <w:rsid w:val="006C470E"/>
    <w:rsid w:val="006D4D34"/>
    <w:rsid w:val="006E497A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20A5B"/>
    <w:rsid w:val="00724664"/>
    <w:rsid w:val="007351CC"/>
    <w:rsid w:val="007409BA"/>
    <w:rsid w:val="00741275"/>
    <w:rsid w:val="0074231A"/>
    <w:rsid w:val="0074555E"/>
    <w:rsid w:val="007640DC"/>
    <w:rsid w:val="00764889"/>
    <w:rsid w:val="0076778E"/>
    <w:rsid w:val="0077053E"/>
    <w:rsid w:val="007921FC"/>
    <w:rsid w:val="007A32A1"/>
    <w:rsid w:val="007B12B3"/>
    <w:rsid w:val="007C0526"/>
    <w:rsid w:val="007C3EB3"/>
    <w:rsid w:val="007D589F"/>
    <w:rsid w:val="007E0F34"/>
    <w:rsid w:val="007F4CBE"/>
    <w:rsid w:val="00805EBD"/>
    <w:rsid w:val="00806FBC"/>
    <w:rsid w:val="00814936"/>
    <w:rsid w:val="00814BEA"/>
    <w:rsid w:val="00821C13"/>
    <w:rsid w:val="00824155"/>
    <w:rsid w:val="0082443F"/>
    <w:rsid w:val="00841365"/>
    <w:rsid w:val="00841B6C"/>
    <w:rsid w:val="00843963"/>
    <w:rsid w:val="00854CCE"/>
    <w:rsid w:val="00862083"/>
    <w:rsid w:val="008710F1"/>
    <w:rsid w:val="0087449E"/>
    <w:rsid w:val="00875CE3"/>
    <w:rsid w:val="0087607F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D0A8A"/>
    <w:rsid w:val="008D1481"/>
    <w:rsid w:val="008D1571"/>
    <w:rsid w:val="008D3CAD"/>
    <w:rsid w:val="008D64C9"/>
    <w:rsid w:val="008E433C"/>
    <w:rsid w:val="008F36E6"/>
    <w:rsid w:val="00906AA4"/>
    <w:rsid w:val="00907249"/>
    <w:rsid w:val="00920E99"/>
    <w:rsid w:val="00921397"/>
    <w:rsid w:val="009250F2"/>
    <w:rsid w:val="0092774F"/>
    <w:rsid w:val="0093282C"/>
    <w:rsid w:val="00932D8F"/>
    <w:rsid w:val="009351BE"/>
    <w:rsid w:val="00937031"/>
    <w:rsid w:val="009375EE"/>
    <w:rsid w:val="0094264B"/>
    <w:rsid w:val="009511D3"/>
    <w:rsid w:val="00952968"/>
    <w:rsid w:val="00961780"/>
    <w:rsid w:val="009618A0"/>
    <w:rsid w:val="00976D79"/>
    <w:rsid w:val="0098440B"/>
    <w:rsid w:val="0099039F"/>
    <w:rsid w:val="00990932"/>
    <w:rsid w:val="009A2883"/>
    <w:rsid w:val="009B2F03"/>
    <w:rsid w:val="009B7C73"/>
    <w:rsid w:val="00A0721A"/>
    <w:rsid w:val="00A073A1"/>
    <w:rsid w:val="00A304BE"/>
    <w:rsid w:val="00A30728"/>
    <w:rsid w:val="00A34518"/>
    <w:rsid w:val="00A478EC"/>
    <w:rsid w:val="00A53ADE"/>
    <w:rsid w:val="00A56842"/>
    <w:rsid w:val="00A67B9C"/>
    <w:rsid w:val="00A70B4E"/>
    <w:rsid w:val="00A76FDB"/>
    <w:rsid w:val="00A80961"/>
    <w:rsid w:val="00A86904"/>
    <w:rsid w:val="00A87F24"/>
    <w:rsid w:val="00A915EE"/>
    <w:rsid w:val="00A97744"/>
    <w:rsid w:val="00AA2D4A"/>
    <w:rsid w:val="00AB72FF"/>
    <w:rsid w:val="00AC3537"/>
    <w:rsid w:val="00AC7B78"/>
    <w:rsid w:val="00AD1FFB"/>
    <w:rsid w:val="00AD7F3C"/>
    <w:rsid w:val="00AE0874"/>
    <w:rsid w:val="00AF6A93"/>
    <w:rsid w:val="00B048A8"/>
    <w:rsid w:val="00B16974"/>
    <w:rsid w:val="00B25EE8"/>
    <w:rsid w:val="00B3077D"/>
    <w:rsid w:val="00B4244F"/>
    <w:rsid w:val="00B4731A"/>
    <w:rsid w:val="00B6096D"/>
    <w:rsid w:val="00B72ACC"/>
    <w:rsid w:val="00B86DF5"/>
    <w:rsid w:val="00B90D55"/>
    <w:rsid w:val="00B9164D"/>
    <w:rsid w:val="00BC34E5"/>
    <w:rsid w:val="00BC422F"/>
    <w:rsid w:val="00BD3A53"/>
    <w:rsid w:val="00BE1167"/>
    <w:rsid w:val="00BE288C"/>
    <w:rsid w:val="00BF4947"/>
    <w:rsid w:val="00BF760D"/>
    <w:rsid w:val="00C078B0"/>
    <w:rsid w:val="00C11802"/>
    <w:rsid w:val="00C1184A"/>
    <w:rsid w:val="00C14792"/>
    <w:rsid w:val="00C340FF"/>
    <w:rsid w:val="00C52EC2"/>
    <w:rsid w:val="00C538A7"/>
    <w:rsid w:val="00C55D48"/>
    <w:rsid w:val="00C62F73"/>
    <w:rsid w:val="00C64760"/>
    <w:rsid w:val="00C66EAA"/>
    <w:rsid w:val="00C752E9"/>
    <w:rsid w:val="00C76E1A"/>
    <w:rsid w:val="00C8560C"/>
    <w:rsid w:val="00C865A5"/>
    <w:rsid w:val="00C905AA"/>
    <w:rsid w:val="00CD4649"/>
    <w:rsid w:val="00CD47CB"/>
    <w:rsid w:val="00CD61CF"/>
    <w:rsid w:val="00CE30C1"/>
    <w:rsid w:val="00D0179E"/>
    <w:rsid w:val="00D027C9"/>
    <w:rsid w:val="00D10319"/>
    <w:rsid w:val="00D108C4"/>
    <w:rsid w:val="00D232F6"/>
    <w:rsid w:val="00D2356C"/>
    <w:rsid w:val="00D3004F"/>
    <w:rsid w:val="00D322C3"/>
    <w:rsid w:val="00D34D84"/>
    <w:rsid w:val="00D40699"/>
    <w:rsid w:val="00D60093"/>
    <w:rsid w:val="00D60A54"/>
    <w:rsid w:val="00D76C87"/>
    <w:rsid w:val="00D827AC"/>
    <w:rsid w:val="00D9402F"/>
    <w:rsid w:val="00D94053"/>
    <w:rsid w:val="00DA41B9"/>
    <w:rsid w:val="00DB00FA"/>
    <w:rsid w:val="00DB29EE"/>
    <w:rsid w:val="00DC191F"/>
    <w:rsid w:val="00DC5C53"/>
    <w:rsid w:val="00DD1079"/>
    <w:rsid w:val="00DD1191"/>
    <w:rsid w:val="00DD5A39"/>
    <w:rsid w:val="00DE0341"/>
    <w:rsid w:val="00DE31E9"/>
    <w:rsid w:val="00DF0342"/>
    <w:rsid w:val="00DF4292"/>
    <w:rsid w:val="00E00D06"/>
    <w:rsid w:val="00E022C5"/>
    <w:rsid w:val="00E20DA4"/>
    <w:rsid w:val="00E27458"/>
    <w:rsid w:val="00E30022"/>
    <w:rsid w:val="00E3285B"/>
    <w:rsid w:val="00E3341F"/>
    <w:rsid w:val="00E35B2A"/>
    <w:rsid w:val="00E51601"/>
    <w:rsid w:val="00E575FD"/>
    <w:rsid w:val="00E610F1"/>
    <w:rsid w:val="00E735EB"/>
    <w:rsid w:val="00E73AE1"/>
    <w:rsid w:val="00E82695"/>
    <w:rsid w:val="00E967F7"/>
    <w:rsid w:val="00EB4F00"/>
    <w:rsid w:val="00EC757D"/>
    <w:rsid w:val="00ED3319"/>
    <w:rsid w:val="00EE200C"/>
    <w:rsid w:val="00F06B90"/>
    <w:rsid w:val="00F1059B"/>
    <w:rsid w:val="00F11D70"/>
    <w:rsid w:val="00F215C8"/>
    <w:rsid w:val="00F27262"/>
    <w:rsid w:val="00F303BC"/>
    <w:rsid w:val="00F33FAE"/>
    <w:rsid w:val="00F36B42"/>
    <w:rsid w:val="00F519D3"/>
    <w:rsid w:val="00F570A8"/>
    <w:rsid w:val="00F7097F"/>
    <w:rsid w:val="00F77A7F"/>
    <w:rsid w:val="00FA46B3"/>
    <w:rsid w:val="00FA50B7"/>
    <w:rsid w:val="00FB64FF"/>
    <w:rsid w:val="00FC1E82"/>
    <w:rsid w:val="00FC4682"/>
    <w:rsid w:val="00FC50E6"/>
    <w:rsid w:val="00FC606A"/>
    <w:rsid w:val="00FC67D2"/>
    <w:rsid w:val="00FC6963"/>
    <w:rsid w:val="00FD13E3"/>
    <w:rsid w:val="00FD2734"/>
    <w:rsid w:val="00FD53E9"/>
    <w:rsid w:val="00FE3B6F"/>
    <w:rsid w:val="00FF61D4"/>
    <w:rsid w:val="2E7B1AEF"/>
    <w:rsid w:val="492E456F"/>
    <w:rsid w:val="54144C86"/>
    <w:rsid w:val="61A5492A"/>
    <w:rsid w:val="65B5C2AA"/>
    <w:rsid w:val="6EA9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chartTrackingRefBased/>
  <w15:docId w15:val="{841DD8E2-ABCA-453C-9E29-AAF278DC40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 Light" w:hAnsi="Calibri Light" w:eastAsiaTheme="minorHAnsi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55CBD"/>
    <w:pPr>
      <w:suppressAutoHyphens/>
      <w:spacing w:after="0" w:line="240" w:lineRule="auto"/>
    </w:pPr>
    <w:rPr>
      <w:rFonts w:ascii="Times New Roman" w:hAnsi="Times New Roman" w:eastAsia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3Znak" w:customStyle="1">
    <w:name w:val="Nagłówek 3 Znak"/>
    <w:basedOn w:val="Domylnaczcionkaakapitu"/>
    <w:link w:val="Nagwek3"/>
    <w:rsid w:val="00655CBD"/>
    <w:rPr>
      <w:rFonts w:ascii="Comic Sans MS" w:hAnsi="Comic Sans MS" w:eastAsia="Times New Roman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styleId="StopkaZnak" w:customStyle="1">
    <w:name w:val="Stopka Znak"/>
    <w:basedOn w:val="Domylnaczcionkaakapitu"/>
    <w:link w:val="Stopka"/>
    <w:uiPriority w:val="99"/>
    <w:rsid w:val="00655CBD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55CBD"/>
    <w:rPr>
      <w:rFonts w:ascii="Times New Roman" w:hAnsi="Times New Roman" w:eastAsia="Times New Roman" w:cs="Times New Roman"/>
      <w:szCs w:val="24"/>
      <w:lang w:eastAsia="ar-SA"/>
    </w:rPr>
  </w:style>
  <w:style w:type="paragraph" w:styleId="Style17" w:customStyle="1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426D22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hAnsi="Garamond" w:eastAsia="Times New Roman" w:cs="Times New Roman"/>
      <w:szCs w:val="20"/>
      <w:lang w:eastAsia="pl-PL"/>
    </w:rPr>
  </w:style>
  <w:style w:type="character" w:styleId="FontStyle18" w:customStyle="1">
    <w:name w:val="Font Style18"/>
    <w:rsid w:val="00426D22"/>
    <w:rPr>
      <w:rFonts w:hint="default" w:ascii="Arial" w:hAnsi="Arial" w:cs="Arial"/>
      <w:color w:val="000000"/>
      <w:sz w:val="18"/>
      <w:szCs w:val="18"/>
    </w:rPr>
  </w:style>
  <w:style w:type="character" w:styleId="AkapitzlistZnak" w:customStyle="1">
    <w:name w:val="Akapit z listą Znak"/>
    <w:link w:val="Akapitzlist"/>
    <w:uiPriority w:val="34"/>
    <w:rsid w:val="004E268D"/>
    <w:rPr>
      <w:rFonts w:ascii="Times New Roman" w:hAnsi="Times New Roman" w:eastAsia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8A8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B048A8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A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048A8"/>
    <w:rPr>
      <w:rFonts w:ascii="Times New Roman" w:hAnsi="Times New Roman" w:eastAsia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be290b410bbf4d50" /><Relationship Type="http://schemas.microsoft.com/office/2011/relationships/commentsExtended" Target="commentsExtended.xml" Id="R94bb1c909520414b" /><Relationship Type="http://schemas.microsoft.com/office/2016/09/relationships/commentsIds" Target="commentsIds.xml" Id="R607d4d35e60b46d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89B90E-8DEF-4FED-A014-E1143D41241B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24FB902D-937F-4DA4-9210-66DE7BC39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FA69FC-F5E4-4522-A23E-65A953607B2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Grzegorz Porada</dc:creator>
  <keywords/>
  <dc:description/>
  <lastModifiedBy>michal.janas@mjc.com.pl</lastModifiedBy>
  <revision>24</revision>
  <dcterms:created xsi:type="dcterms:W3CDTF">2025-11-20T13:54:00.0000000Z</dcterms:created>
  <dcterms:modified xsi:type="dcterms:W3CDTF">2025-12-17T13:22:25.4840116Z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